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2007/462 vom 27. Mai 2009</w:t>
      </w:r>
    </w:p>
    <w:p>
      <w:r>
        <w:t>Sg Versicherungsgericht, 2009-05-27, DE</w:t>
      </w:r>
    </w:p>
    <w:p>
      <w:r>
        <w:rPr>
          <w:b/>
        </w:rPr>
        <w:t xml:space="preserve">Quelle: </w:t>
      </w:r>
      <w:r>
        <w:t>https://mcp.opencaselaw.ch/entscheid/sg_publikationen_IV 2007_462</w:t>
      </w:r>
    </w:p>
    <w:p>
      <w:r>
        <w:t>FR: SG_VERSICHERUNGSGERICHT IV 2007/462 du 27 mai 2009</w:t>
      </w:r>
    </w:p>
    <w:p>
      <w:r>
        <w:t>IT: SG_VERSICHERUNGSGERICHT IV 2007/462 del 27 maggio 2009</w:t>
      </w:r>
    </w:p>
    <w:p>
      <w:pPr>
        <w:pStyle w:val="Heading2"/>
      </w:pPr>
      <w:r>
        <w:t>Regeste</w:t>
      </w:r>
    </w:p>
    <w:p>
      <w:r>
        <w:t>Art. 28 aIVG (in der bis 31. Dezember 2007 gültigen Fassung). Invaliditätsbemessung. Anwendung der sogenannten gemischten Methode. Zumutbare Mithilfe der Familienangehörigen im Haushalt. Kein Rentenanspruch (Entscheid Versicherungsgericht des Kantons St. Gallen vom 27. Mai 2009, IV 2007/462).</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(vorliegend: 25. Oktober 2007) eingetretenen Sachverhalt abzustellen ist (BGE 121 V 366 E. 1b), sind die bis zum 31. Dezember 2007 geltenden materiellen Bestimmungen anzuwenden.</w:t>
      </w:r>
    </w:p>
    <w:p>
      <w:r>
        <w:rPr>
          <w:b/>
        </w:rPr>
        <w:t>E. 2</w:t>
      </w:r>
    </w:p>
    <w:p>
      <w:r>
        <w:t>Gegenstand der vorliegenden Streitigkeit bildet der Anspruch der Beschwerdeführerin auf Rentenleistungen.</w:t>
      </w:r>
    </w:p>
    <w:p>
      <w:r>
        <w:rPr>
          <w:b/>
        </w:rPr>
        <w:t>E. 2.1</w:t>
      </w:r>
    </w:p>
    <w:p>
      <w:r>
        <w:t>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Art. 28 Abs. 2 bis aIVG: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w:t>
      </w:r>
    </w:p>
    <w:p>
      <w:r>
        <w:rPr>
          <w:b/>
        </w:rPr>
        <w:t>E. 2.2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w:t>
      </w:r>
    </w:p>
    <w:p>
      <w:r>
        <w:rPr>
          <w:b/>
        </w:rPr>
        <w:t>E. 2.3</w:t>
      </w:r>
    </w:p>
    <w:p>
      <w:r>
        <w:t>Für die Invaliditätsbemessung im Haushalt stellt der nach Massgabe der Verwaltungsweisungen des BSV (Kreisschreibens über Invalidität und Hilflosigkeit in der Invalidenversicherung [KSIH], Stand bis 31. Dezember 2007) eingeholte Abklärungsbericht im Haushalt eine geeignete und im Regelfall genügende Grundlage dar. Ob eine versicherte Person als ganztägig oder zeitweilig erwerbstätig oder als nichterwerbstätig einzustufen ist, ergibt sich aus der Prüfung der Frage, was sie bei im Übrigen unveränderten Umständen täte, wenn keine gesundheitliche Beeinträchtigung bestünde (BGE 125 V 150 E. 2c).</w:t>
      </w:r>
    </w:p>
    <w:p>
      <w:r>
        <w:rPr>
          <w:b/>
        </w:rPr>
        <w:t>E. 2.4</w:t>
      </w:r>
    </w:p>
    <w:p>
      <w:r>
        <w:t>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(BGE 125 V 195 E. 2 mit Hinweisen). Verwaltungsbehörden und Sozialversicherungsgerichte haben zusätzliche Abklärungen stets vorzunehmen, wenn hierzu aufgrund der Parteivorbringen oder anderer sich aus den Akten ergebender Anhaltspunkte hinreichender Anlass besteht (BGE 110 V 53 E. 4a).</w:t>
      </w:r>
    </w:p>
    <w:p>
      <w:r>
        <w:rPr>
          <w:b/>
        </w:rPr>
        <w:t>E. 3</w:t>
      </w:r>
    </w:p>
    <w:p>
      <w:r>
        <w:t>Zwischen den Parteien herrscht Einigkeit darüber, dass die Beschwerdeführerin im Gesundheitsfall zu 36% einer Erwerbstätigkeit nachgehen und zu 64% im Haushalt tätig sein würde (act. G 5.29.2 ff.; act. G 5.44 und G 1, S. 3). Vor diesem Hintergrund erübrigen sich Weiterungen zur Pensumaufteilung. Da die Beschwerdeführerin nicht als vollzeitlich Erwerbstätige zu qualifizieren ist, hat die Ermittlung des Invaliditätsgrades nach der gemischten Methode zu erfolgen.</w:t>
      </w:r>
    </w:p>
    <w:p>
      <w:r>
        <w:rPr>
          <w:b/>
        </w:rPr>
        <w:t>E. 4</w:t>
      </w:r>
    </w:p>
    <w:p>
      <w:r>
        <w:t>Für den Haushaltsbereich ermittelte die Beschwerdegegnerin gestützt auf die Einschätzung von Dr. C.___ vom 11. Juli 2007 (act. G 5.34.2) eine Einschränkung von 30% (act. G 5.44.2). Demgegenüber gelangte die Abklärungsperson im Abklärungsbericht Haushalt vom 16. November 2006 zum Ergebnis, dass unter Berücksichtigung einer täglichen Mithilfe des Ehegatten von 45 Minuten eine Einschränkung im Umfang von 42% bestehe (act. G 5.29.7).</w:t>
      </w:r>
    </w:p>
    <w:p>
      <w:r>
        <w:rPr>
          <w:b/>
        </w:rPr>
        <w:t>E. 4.1</w:t>
      </w:r>
    </w:p>
    <w:p>
      <w:r>
        <w:t>Für den Beweiswert eines Berichtes über die Abklärung im Haushalt einer versicherten Person sind – analog zur Rechtsprechung betreffend die Beweiskraft von Arztberichten (BGE 125 V 352 E. 3a mit Hinweis)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dies alles zu, ist der Abklärungsbericht beweiskräftig (AHI 2003 S. 218 E. 2.3.2). Sofern der Abklärungsbericht im Sinn der vorstehend genannten Rechtsprechung eine zuverlässige Entscheidungsgrundlage darstellt, greift das Gericht in das Ermessen der Abklärungsperson nur ein, wenn – etwa im Licht einer ärztlichen Stellungnahme zur Arbeitsfähigkeit im Haushalt – klar feststellbare Fehleinschätzungen oder Anhaltspunkte für die Unrichtigkeit der Abklärungsergebnisse (z.B. infolge von Widersprüchlichkeiten) vorliegen (AHI 2003 S. 218 E. 2.3.2 mit Hinweis; Urteil des Bundesgerichts vom 30. Oktober 2007 i.S. T., I 246/05, E. 5.2.1 mit Hinweisen).</w:t>
      </w:r>
    </w:p>
    <w:p>
      <w:r>
        <w:rPr>
          <w:b/>
        </w:rPr>
        <w:t>E. 4.2</w:t>
      </w:r>
    </w:p>
    <w:p>
      <w:r>
        <w:t>Die Beschwerdegegnerin benennt keine Mängel am Abklärungsbericht und legt auch nicht dar, inwiefern dieser nicht den genannten rechtsprechungsgemässen Anforderungen zu genügen vermag. Aus den Akten ergeben sich auch keine Anhaltspunkte, die gegen den Abklärungsbericht sprechen würden. Insbesondere wird er auch nicht durch die - in dieser Hinsicht nur kurz begründete - Auffassung von Dr. C.___ vom 11. Juli 2007, dass im Haushaltsbereich höchstens eine 30%ige Einschränkung bestehe (act. G 5.34.2), in ernsthafte Zweifel gezogen. Denn es ergeben sich daraus weder klar feststellbare Fehleinschätzungen noch fassbare Anhaltspunkte für die Unrichtigkeit der Abklärungsergebnisse. Zudem überzeugt die Stellungnahme von Dr. C.___ - namentlich die Auffassung, dass der Beschwerdeführerin sämtliche bis auf sehr schwere Haushaltsarbeiten zumutbar seien - schon deshalb nicht, da sie in gewissem Widerspruch zu der von ihm bescheinigten 50% Arbeitsunfähigkeit für leichte adaptierte Tätigkeiten steht (act. G 5.34). Zur Bemessung der Einschränkungen im Haushaltsbereich ist daher auf den Abklärungsbericht vom 16. November 2006 abzustellen.</w:t>
      </w:r>
    </w:p>
    <w:p>
      <w:r>
        <w:rPr>
          <w:b/>
        </w:rPr>
        <w:t>E. 4.3</w:t>
      </w:r>
    </w:p>
    <w:p>
      <w:r>
        <w:t>Die Beschwerdeführerin wendet ihrerseits gegen den Abklärungsbericht vom 16. November 2006 ein, dass die ihrem Ehegatten angerechnete tägliche Mithilfe von 45 Minuten für diesen nicht zumutbar und deshalb von einer grösseren Einschränkung auszugehen sei (act. G 1, S. 7 f.).</w:t>
      </w:r>
    </w:p>
    <w:p>
      <w:r>
        <w:rPr>
          <w:b/>
        </w:rPr>
        <w:t>E. 4.3.1</w:t>
      </w:r>
    </w:p>
    <w:p>
      <w:r>
        <w:t>Massgebend für die Schadenminderungspflicht von Familienangehörigen bzw. ihnen gleichgestellten Personen ist, dass die rentenansprechende Person im Haushalt diejenigen Hilfestellungen seitens der Angehörigen in Anspruch nehmen kann, die von diesen aufgrund der familienintern gewählten Aufgaben- und Rollenverteilung üblicherweise erwartet werden dürfen. Ein invaliditätsbedingter Ausfall ist bei im Haushalt tätigen Personen jedoch insofern anzunehmen, als die Aufgaben, die nicht mehr erfüllt werden können, durch Drittpersonen gegen Entlöhnung oder durch Angehörige verrichtet werden, denen dadurch nachweislich eine Erwerbseinbusse oder doch eine unverhältnismässige Belastung entsteht (BGE 133 V 509 E. 4.2). Die im Rahmen der Invaliditätsbemessung bei einer im Haushalt tätigen Person zu berücksichtigende Mithilfe von Familienangehörigen geht daher weiter als die ohne Gesundheitsschädigung üblicherweise zu erwartende Unterstützung (BGE 130 V 101 E. 3.3.3). Unter dem Titel der Schadenminderungspflicht darf aber keinesfalls die Bewältigung der Haushaltstätigkeit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(Urteil des Eidgenössischen Versicherungsgerichts [EVG; seit 1. Januar 2007: Sozialrechtliche Abteilungen des Bundesgerichts] vom 11. August 2003, I 681/02, E. 4.4; BGE 133 V 509 E. 4.2).</w:t>
      </w:r>
    </w:p>
    <w:p>
      <w:r>
        <w:rPr>
          <w:b/>
        </w:rPr>
        <w:t>E. 4.3.2</w:t>
      </w:r>
    </w:p>
    <w:p>
      <w:r>
        <w:t>Die Beschwerdeführerin lebt mit ihrem Ehegatten und den beiden Söhnen in einer 3½-Zimmerwohnung. Der Ehemann arbeite als Hilfsarbeiter in einem Zwei-Schicht-Betrieb. Die Abklärungsperson berücksichtigte im Bericht vom 16. November 2006 eine Mithilfe des Ehegatten der Beschwerdeführerin bei der Wohnungspflege (15 Minuten pro Tag), bei den Einkäufen (20 Minuten pro Tag) und bei der Wäsche- und Kleiderpflege (10 Minuten pro Tag). Den 1992 und 1995 geborenen Söhnen wurde zugemutet, dass sie ihr Zimmer (inklusive Betten) selbst in Ordnung halten. Mit Blick darauf, dass die von den Familienangehörigen zu berücksichtigende und zu erwartende Mithilfe weiter geht als die ohne Gesundheitsschädigung üblicherweise zu erwartende Unterstützung, ist die Einschätzung der Abklärungsperson zu bestätigen. Klare Fehleinschätzungen oder Hinweise, dass die Ergebnisse unrichtig sind, liegen nicht vor. Dies umso weniger, als die Familienangehörigen gemäss der im Abklärungsbericht wiedergegebenen Angaben der Beschwerdeführerin die angerechnete Mithilfe im Alltag bereits erbringen. So koche der Ehegatte nach der Arbeit selbst. Er nehme auch die Böden auf, reinige das Badezimmer, helfe bei der Reinigung der Küche und kaufe ein. Die Kinder würden dabei mithelfen und ihr Zimmer selbst aufräumen (act. G. 5.29.1 ff.). Weitere Rügen bringt die Beschwerdeführerin gegen den Abklärungsbericht nicht vor. Es sind aus den Akten auch keine Hinweise ersichtlich, die gegen dessen Aussagekraft sprechen würden.</w:t>
      </w:r>
    </w:p>
    <w:p>
      <w:r>
        <w:rPr>
          <w:b/>
        </w:rPr>
        <w:t>E. 4.4</w:t>
      </w:r>
    </w:p>
    <w:p>
      <w:r>
        <w:t>Zusammenfassend ergibt sich, dass die Einschränkung im Haushalt gestützt auf die Erkenntnisse des Abklärungsberichts vom 16. November 2006 42% beträgt. Dies führt bei einer Gewichtung von 64% zu einem Teilinvaliditätsgrad von 27%. Anhaltspunkte, die weitere Abklärungen rechtfertigen würden, bestehen nicht.</w:t>
      </w:r>
    </w:p>
    <w:p>
      <w:r>
        <w:rPr>
          <w:b/>
        </w:rPr>
        <w:t>E. 5</w:t>
      </w:r>
    </w:p>
    <w:p>
      <w:r>
        <w:t>Zu prüfen bleiben damit die Verhältnisse im Erwerbsbereich. Die Beschwerdegegnerin ging in der angefochtenen Verfügung davon aus, dass die Beschwerdeführerin für körperlich leichte Tätigkeiten über eine volle Arbeitsfähigkeit verfüge (act. G 5.44). Demgegenüber stellt sich die Beschwerdeführerin auf den Standpunkt, für leidensadaptierte Tätigkeiten mindestens zu 50% arbeitsunfähig zu sein (act. G 1, S. 6).</w:t>
      </w:r>
    </w:p>
    <w:p>
      <w:r>
        <w:rPr>
          <w:b/>
        </w:rPr>
        <w:t>E. 5.1</w:t>
      </w:r>
    </w:p>
    <w:p>
      <w:r>
        <w:t>Die Gutachter Dres. C.___ und D.___ diagnostizierten eine somatoforme Schmerzstörung, einen Status nach nicht indizierter lumbaler Hemilaminektomie und Foraminotomie, ein chronisches lumbales Schmerzsyndrom ein - nicht gesichertes - Fibromyalgie-Syndrom, eine leichte tendinotische Schultereinschränkung beidseits und eine "somatische Problematik" ohne schweres psychisches Leiden mit Auswirkung auf die Arbeitsfähigkeit. Aus somatischer Sicht sei für leichte Tätigkeiten von einer 50%igen Restarbeitsfähigkeit auszugehen (act. G 5.20.6 ff.; vgl. auch act. G 5.34.1 f.). Hierzu bemerkte die RAD-Ärztin Dr. E.___ am 17. August 2007, dass die 50%ige Arbeitsunfähigkeit zwar für die angestammte Tätigkeit als Reinigungsfrau plausibel sei. Adaptierte Tätigkeiten seien der Beschwerdeführerin aber medizinisch theoretisch gemäss aktueller Rechtsprechung zu 100% zumutbar. Dies deshalb, weil im Gutachten die Schmerzverarbeitungsstörung im Vordergrund stehe. Diese sei von psychiatrischer Seite als ohne Auswirkung auf die Arbeitsfähigkeit beurteilt worden (act. G 5.35).</w:t>
      </w:r>
    </w:p>
    <w:p>
      <w:r>
        <w:rPr>
          <w:b/>
        </w:rPr>
        <w:t>E. 5.2</w:t>
      </w:r>
    </w:p>
    <w:p>
      <w:r>
        <w:t>Dem interdisziplinären Gutachten kann entnommen werden, dass eine höchstens 50%ige Arbeitsunfähigkeit für leidensadaptierte Tätigkeiten besteht. Daran vermag die vom Hausarzt am 4. Oktober 2002 bescheinigte 100%ige Arbeitsunfähigkeit (act. G 1.2) und die von ihm mit Blick auf die Tätigkeit als Hausfrau am 20. Oktober 2005 attestierte 70%ige Arbeitsunfähigkeit (act. G 5.10.1 f.) nichts zu ändern. Denn die attestierten Arbeitsunfähigkeiten beziehen sich nicht auf leidensadaptierte Tätigkeiten, sind nicht näher begründet und vor der interdisziplinären Begutachtung ergangen. Aus den entsprechenden Berichten gehen weiter keine Tatsachen hervor, die von den Gutachtern nicht berücksichtigt worden wären. Für die Vornahme weiterer Abklärungen besteht von daher keine Veranlassung.</w:t>
      </w:r>
    </w:p>
    <w:p>
      <w:r>
        <w:rPr>
          <w:b/>
        </w:rPr>
        <w:t>E. 5.3</w:t>
      </w:r>
    </w:p>
    <w:p>
      <w:r>
        <w:t>Dr. C.___ hat auf Rückfrage der Beschwerdegegnerin am 11. Juli 2007 ausdrücklich daran festgehalten, dass aus somatischer Sicht die Beschwerdeführerin zu 50% eingeschränkt sei (act. G. 5.1.34). Es erscheint fraglich, ob von dieser Einschätzung allein anhand einer Aktenbeurteilung durch den RAD abzuweichen und auf eine uneingeschränkte Arbeitsfähigkeit für adaptierte leichte Tätigkeit geschlossen werden könnte. Diese Frage kann letztlich offen bleiben. Denn selbst wenn zugunsten der Beschwerdeführerin auf die gutachterlich bescheinigte Arbeitsunfähigkeit von 50% abgestellt wird, resultiert in Anwendung der vom Bundesgericht praktizierten gemischten Methode (vgl. hierzu etwa Urteil des EVG vom 13. Dezember 2005, I 156/04 = SVR 2006 IV Nr. 42 S. 151 ff.) kein rentenbegründender Invaliditätsgrad, wie sich aus nachfolgenden Erwägungen ergibt.</w:t>
      </w:r>
    </w:p>
    <w:p>
      <w:r>
        <w:rPr>
          <w:b/>
        </w:rPr>
        <w:t>E. 5.4</w:t>
      </w:r>
    </w:p>
    <w:p>
      <w:r>
        <w:t>Wenn zugunsten der Beschwerdeführerin das von ihr geltend gemachte Valideneinkommen von Fr. 11'432.-- dem von ihr ermittelten Invalideneinkommen von Fr. 14'666.-- gegenübergestellt und ausnahmsweise sogar der höchstzulässige Leidensabzug von 25% berücksichtigt würde, ergäbe sich eine Erwerbseinbusse von höchstens Fr. 433.-- (Fr. 11'432.-- - [Fr. 14'666.-- x 0.75]), mithin ein ungewichteter Teilinvaliditätsgrad von 4% ([Fr. 433.-- / Fr. 11'432.--] x 100) bzw. ein gewichteter Teilinvaliditätsgrad von 1.5% (4% x 0.36). Bei einem gewichteten Teilinvaliditätsgrad im Haushaltsbereich von 27% und einem gewichteten Teilinvaliditätsgrad von 1.5% im Erwerbsbereich resultiert ein nicht rentenbegründender Gesamtinvaliditätsgrad von 28.5% bzw. gerundet 29% (zu den Rundungsregeln vgl. BGE 130 V 121).</w:t>
      </w:r>
    </w:p>
    <w:p>
      <w:r>
        <w:rPr>
          <w:b/>
        </w:rPr>
        <w:t>E. 6.1</w:t>
      </w:r>
    </w:p>
    <w:p>
      <w:r>
        <w:t>Im Sinn der vorstehenden Erwägungen ist die Beschwerde gegen die Verfügung vom 25. Oktober 2007 abzuweisen.</w:t>
      </w:r>
    </w:p>
    <w:p>
      <w:r>
        <w:rPr>
          <w:b/>
        </w:rPr>
        <w:t>E. 6.2</w:t>
      </w:r>
    </w:p>
    <w:p>
      <w:r>
        <w:t>Der Beschwerdeführerin wurde die unentgeltliche Rechtspflege am 14. April 2008 bewilligt (act. G 12). Wenn die wirtschaftlichen Verhältnisse der Beschwerdeführerin es gestatten, kann sie jedoch zur Nachzahlung der Gerichtskosten, der Auslagen für die Vertretung und der vom Staat entschädigten Parteikosten verpflichtet werden (Art. 288 Abs. 1 ZPO/SG i.V.m. Art. 99 Abs. 2 VRP/SG).</w:t>
      </w:r>
    </w:p>
    <w:p>
      <w:r>
        <w:rPr>
          <w:b/>
        </w:rPr>
        <w:t>E. 6.3</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w:t>
      </w:r>
    </w:p>
    <w:p>
      <w:r>
        <w:rPr>
          <w:b/>
        </w:rPr>
        <w:t>E. 6.4</w:t>
      </w:r>
    </w:p>
    <w:p>
      <w:r>
        <w:t>Der Staat ist zufolge unentgeltlicher Rechtsverbeiständung zu verpflichten, für die Kosten der Rechtsvertretung der Beschwerdeführerin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hat in der Honorarnote vom 17. April 2008 pauschal einen Aufwand von Fr. 4'500.-- zuzüglich Barauslagen geltend gemacht (act. G 14.1). Mit Blick auf die Anforderungen der vorliegenden Streitigkeit und auf die in vergleichbaren Fällen zugesprochene Entschädigung erscheint vorliegend eine pauschale Parteientschädigung von Fr. 3'500.-- als angemessen. Diese ist um einen Fünftel zu kürzen (Art. 31 Abs. 3 AnwG). Zusätzlich ist davon der von der Beschwerdeführerin an ihren Rechtsvertreter geleistete Kostenvorschuss von Fr. 1'000.-- in Abzug zu bringen. Somit hat der Staat den Rechtsvertreter der Beschwerdeführerin pauschal (inkl. Barauslagen und Mehrwertsteuer) mit Fr. 1'800.-- ([Fr. 3'500.-- x 0.8] - Fr. 1'000.--) zu entschädigen. Demgemäss hat das Versicherungsgericht entschieden: 1.  Die Beschwerde wird abgewiesen. 2.  Die Beschwerdeführerin wird im Sinn der Erwägungen von der Bezahlung der Gerichtskosten von Fr. 600.-- befreit. 3.  Der Staat hat den Rechtsvertreter der Beschwerdeführerin mit Fr. 1'800.--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